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C9" w:rsidRPr="00D56FC9" w:rsidRDefault="00D56FC9" w:rsidP="00D56FC9">
      <w:pPr>
        <w:spacing w:after="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  <w:r w:rsidRPr="00D56FC9">
        <w:rPr>
          <w:rFonts w:ascii="stk" w:eastAsia="Times New Roman" w:hAnsi="stk" w:cs="Times New Roman"/>
          <w:b/>
          <w:bCs/>
          <w:color w:val="2F2F2F"/>
          <w:sz w:val="36"/>
          <w:szCs w:val="36"/>
        </w:rPr>
        <w:t>Что сдают на ОГЭ в 2021</w:t>
      </w:r>
    </w:p>
    <w:p w:rsidR="00F76500" w:rsidRPr="00F76500" w:rsidRDefault="00D56FC9" w:rsidP="00F76500">
      <w:pPr>
        <w:spacing w:after="26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Два обязательных предмета — русский язык и математику. </w:t>
      </w:r>
    </w:p>
    <w:p w:rsidR="00D56FC9" w:rsidRPr="00D56FC9" w:rsidRDefault="00D56FC9" w:rsidP="00F76500">
      <w:pPr>
        <w:spacing w:after="26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Вместо экзаменов по выбору школьники напишут контрольную работу в формате ОГЭ по одному дополнительному предмету. Какой предмет сдавать — ученики выберут сами:</w:t>
      </w:r>
    </w:p>
    <w:p w:rsidR="00D56FC9" w:rsidRPr="00D56FC9" w:rsidRDefault="00D56FC9" w:rsidP="00F76500">
      <w:pPr>
        <w:numPr>
          <w:ilvl w:val="0"/>
          <w:numId w:val="1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литература;</w:t>
      </w:r>
    </w:p>
    <w:p w:rsidR="00D56FC9" w:rsidRPr="00D56FC9" w:rsidRDefault="00D56FC9" w:rsidP="00F76500">
      <w:pPr>
        <w:numPr>
          <w:ilvl w:val="0"/>
          <w:numId w:val="2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физика;</w:t>
      </w:r>
    </w:p>
    <w:p w:rsidR="00D56FC9" w:rsidRPr="00D56FC9" w:rsidRDefault="00D56FC9" w:rsidP="00F76500">
      <w:pPr>
        <w:numPr>
          <w:ilvl w:val="0"/>
          <w:numId w:val="3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химия;</w:t>
      </w:r>
    </w:p>
    <w:p w:rsidR="00D56FC9" w:rsidRPr="00D56FC9" w:rsidRDefault="00D56FC9" w:rsidP="00F76500">
      <w:pPr>
        <w:numPr>
          <w:ilvl w:val="0"/>
          <w:numId w:val="4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биология;</w:t>
      </w:r>
    </w:p>
    <w:p w:rsidR="00D56FC9" w:rsidRPr="00D56FC9" w:rsidRDefault="00D56FC9" w:rsidP="00F76500">
      <w:pPr>
        <w:numPr>
          <w:ilvl w:val="0"/>
          <w:numId w:val="5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география;</w:t>
      </w:r>
    </w:p>
    <w:p w:rsidR="00D56FC9" w:rsidRPr="00D56FC9" w:rsidRDefault="00D56FC9" w:rsidP="00F76500">
      <w:pPr>
        <w:numPr>
          <w:ilvl w:val="0"/>
          <w:numId w:val="6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история;</w:t>
      </w:r>
    </w:p>
    <w:p w:rsidR="00D56FC9" w:rsidRPr="00D56FC9" w:rsidRDefault="00D56FC9" w:rsidP="00F76500">
      <w:pPr>
        <w:numPr>
          <w:ilvl w:val="0"/>
          <w:numId w:val="7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обществознание;</w:t>
      </w:r>
    </w:p>
    <w:p w:rsidR="00D56FC9" w:rsidRPr="00D56FC9" w:rsidRDefault="00D56FC9" w:rsidP="00F76500">
      <w:pPr>
        <w:numPr>
          <w:ilvl w:val="0"/>
          <w:numId w:val="8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информатика;</w:t>
      </w:r>
    </w:p>
    <w:p w:rsidR="00F76500" w:rsidRPr="00F76500" w:rsidRDefault="00D56FC9" w:rsidP="00F76500">
      <w:pPr>
        <w:numPr>
          <w:ilvl w:val="0"/>
          <w:numId w:val="9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иностранные языки — английский, немецкий, французский или испанский.</w:t>
      </w:r>
    </w:p>
    <w:p w:rsidR="00D56FC9" w:rsidRPr="00D56FC9" w:rsidRDefault="00D56FC9" w:rsidP="00F76500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Ребята с ОВЗ смогут выбрать один обязательный предмет для сдачи: русский или математику. Планируется, что они тоже будут писать контрольную работу по дополнительному предмету.</w:t>
      </w:r>
    </w:p>
    <w:p w:rsidR="00D56FC9" w:rsidRPr="00D56FC9" w:rsidRDefault="00D56FC9" w:rsidP="00D56FC9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  <w:r w:rsidRPr="00D56FC9">
        <w:rPr>
          <w:rFonts w:ascii="stk" w:eastAsia="Times New Roman" w:hAnsi="stk" w:cs="Times New Roman"/>
          <w:b/>
          <w:bCs/>
          <w:color w:val="2F2F2F"/>
          <w:sz w:val="36"/>
          <w:szCs w:val="36"/>
          <w:bdr w:val="none" w:sz="0" w:space="0" w:color="auto" w:frame="1"/>
        </w:rPr>
        <w:t>Особенности контрольной работы вместо ОГЭ</w:t>
      </w:r>
    </w:p>
    <w:p w:rsidR="00D56FC9" w:rsidRPr="00D56FC9" w:rsidRDefault="00D56FC9" w:rsidP="00F76500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1. Не влияет на получение аттестата, но вместе с другими оценками по предмету влияет на итоговый балл в аттестате.</w: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  <w:t xml:space="preserve">2. Результаты выставляются в журнал как </w:t>
      </w:r>
      <w:proofErr w:type="gramStart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итоговая</w:t>
      </w:r>
      <w:proofErr w:type="gramEnd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контрольная.</w: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  <w:t>3. Будет составляться на основе контрольных измерительных материалов ОГЭ.</w: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  <w:t>4. Школа может использовать результаты, например, для за</w:t>
      </w:r>
      <w:r w:rsidR="00F76500" w:rsidRPr="00F76500">
        <w:rPr>
          <w:rFonts w:ascii="Times New Roman" w:eastAsia="Times New Roman" w:hAnsi="Times New Roman" w:cs="Times New Roman"/>
          <w:color w:val="2F2F2F"/>
          <w:sz w:val="28"/>
          <w:szCs w:val="28"/>
        </w:rPr>
        <w:t>числения в профильный класс.</w: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  <w:t>6. Проводится в своей школе и проверяется своими учителями.</w:t>
      </w:r>
    </w:p>
    <w:p w:rsidR="00D56FC9" w:rsidRPr="00D56FC9" w:rsidRDefault="00D56FC9" w:rsidP="00D56FC9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  <w:r w:rsidRPr="00D56FC9">
        <w:rPr>
          <w:rFonts w:ascii="stk" w:eastAsia="Times New Roman" w:hAnsi="stk" w:cs="Times New Roman"/>
          <w:b/>
          <w:bCs/>
          <w:color w:val="2F2F2F"/>
          <w:sz w:val="36"/>
          <w:szCs w:val="36"/>
        </w:rPr>
        <w:t>Расписание ОГЭ и ГВЭ</w:t>
      </w:r>
    </w:p>
    <w:p w:rsidR="00D56FC9" w:rsidRPr="00D56FC9" w:rsidRDefault="00D56FC9" w:rsidP="00D56FC9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Досрочный период сдачи ОГЭ отменили.</w:t>
      </w:r>
    </w:p>
    <w:p w:rsidR="00D56FC9" w:rsidRPr="00D56FC9" w:rsidRDefault="00D56FC9" w:rsidP="00D56FC9">
      <w:pPr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Основной период</w:t>
      </w:r>
    </w:p>
    <w:p w:rsidR="00D56FC9" w:rsidRPr="00D56FC9" w:rsidRDefault="00D56FC9" w:rsidP="00D56FC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Контрольные работы по предмету по выбору школьники напишут до ОГЭ — с 17 по 21 мая 2021 года по рекомендованному </w:t>
      </w:r>
      <w:proofErr w:type="spellStart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fldChar w:fldCharType="begin"/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instrText xml:space="preserve"> HYPERLINK "http://obrnadzor.gov.ru/news/rosobrnadzor-razyasnyaet-osobennosti-provedeniya-kontrolnyh-rabot-po-vyboru-dlya-vypusknikov-9-klassov/" \t "_blank" </w:instrTex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fldChar w:fldCharType="separate"/>
      </w:r>
      <w:r w:rsidRPr="00F765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Рособрнадзором</w:t>
      </w:r>
      <w:proofErr w:type="spellEnd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fldChar w:fldCharType="end"/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 расписанию.</w:t>
      </w:r>
    </w:p>
    <w:p w:rsidR="00D56FC9" w:rsidRPr="00D56FC9" w:rsidRDefault="00D56FC9" w:rsidP="00D56FC9">
      <w:pPr>
        <w:numPr>
          <w:ilvl w:val="0"/>
          <w:numId w:val="10"/>
        </w:numPr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>Русский язык — 24 и 25 мая; 8 и 30 июня (резервные дни)</w:t>
      </w:r>
    </w:p>
    <w:p w:rsidR="00D56FC9" w:rsidRPr="00D56FC9" w:rsidRDefault="00D56FC9" w:rsidP="00D56FC9">
      <w:pPr>
        <w:numPr>
          <w:ilvl w:val="0"/>
          <w:numId w:val="10"/>
        </w:numPr>
        <w:spacing w:after="0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Математика — 27 и 28 мая; 16 июня и 2 июля (резервные дни)</w:t>
      </w:r>
    </w:p>
    <w:p w:rsidR="00D56FC9" w:rsidRPr="00D56FC9" w:rsidRDefault="00D56FC9" w:rsidP="00D56FC9">
      <w:pPr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Дополнительный период</w:t>
      </w:r>
    </w:p>
    <w:p w:rsidR="00D56FC9" w:rsidRPr="00D56FC9" w:rsidRDefault="00D56FC9" w:rsidP="00D56FC9">
      <w:pPr>
        <w:numPr>
          <w:ilvl w:val="0"/>
          <w:numId w:val="11"/>
        </w:numPr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Русский язык — 3 и 13 сентября</w:t>
      </w:r>
    </w:p>
    <w:p w:rsidR="00D56FC9" w:rsidRPr="00D56FC9" w:rsidRDefault="00D56FC9" w:rsidP="00D56FC9">
      <w:pPr>
        <w:numPr>
          <w:ilvl w:val="0"/>
          <w:numId w:val="11"/>
        </w:numPr>
        <w:spacing w:after="0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Математика — 6 и 15 сентября</w:t>
      </w:r>
    </w:p>
    <w:p w:rsidR="00D56FC9" w:rsidRPr="00D56FC9" w:rsidRDefault="00D56FC9" w:rsidP="00D56FC9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  <w:r w:rsidRPr="00D56FC9">
        <w:rPr>
          <w:rFonts w:ascii="stk" w:eastAsia="Times New Roman" w:hAnsi="stk" w:cs="Times New Roman"/>
          <w:b/>
          <w:bCs/>
          <w:color w:val="2F2F2F"/>
          <w:sz w:val="36"/>
          <w:szCs w:val="36"/>
        </w:rPr>
        <w:t>Минимальные баллы и перевод в оценку</w:t>
      </w:r>
    </w:p>
    <w:p w:rsidR="00D56FC9" w:rsidRPr="00D56FC9" w:rsidRDefault="00D56FC9" w:rsidP="00D56FC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В </w:t>
      </w:r>
      <w:r w:rsidR="00F76500" w:rsidRPr="005A46D5">
        <w:rPr>
          <w:rFonts w:ascii="Times New Roman" w:eastAsia="Times New Roman" w:hAnsi="Times New Roman" w:cs="Times New Roman"/>
          <w:color w:val="2F2F2F"/>
          <w:sz w:val="28"/>
          <w:szCs w:val="28"/>
        </w:rPr>
        <w:t>2021</w: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году </w:t>
      </w:r>
      <w:hyperlink r:id="rId6" w:tgtFrame="_blank" w:history="1">
        <w:r w:rsidRPr="005A46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минимальные баллы</w:t>
        </w:r>
      </w:hyperlink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 такие:</w:t>
      </w:r>
    </w:p>
    <w:p w:rsidR="00D56FC9" w:rsidRPr="005A46D5" w:rsidRDefault="00D56FC9" w:rsidP="005A46D5">
      <w:pPr>
        <w:pStyle w:val="a7"/>
        <w:numPr>
          <w:ilvl w:val="0"/>
          <w:numId w:val="16"/>
        </w:numPr>
        <w:spacing w:after="0" w:afterAutospacing="1" w:line="240" w:lineRule="auto"/>
        <w:ind w:left="142" w:firstLine="218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5A46D5">
        <w:rPr>
          <w:rFonts w:ascii="Times New Roman" w:eastAsia="Times New Roman" w:hAnsi="Times New Roman" w:cs="Times New Roman"/>
          <w:color w:val="2F2F2F"/>
          <w:sz w:val="28"/>
          <w:szCs w:val="28"/>
        </w:rPr>
        <w:t>Русский язык — 15 первичных баллов.</w:t>
      </w:r>
      <w:r w:rsidRPr="005A46D5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  <w:t>Для отбора в профильные классы — 26 первичных баллов.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1706"/>
        <w:gridCol w:w="2547"/>
        <w:gridCol w:w="2835"/>
      </w:tblGrid>
      <w:tr w:rsidR="00D56FC9" w:rsidRPr="00D56FC9" w:rsidTr="005A46D5">
        <w:trPr>
          <w:tblHeader/>
        </w:trPr>
        <w:tc>
          <w:tcPr>
            <w:tcW w:w="1843" w:type="dxa"/>
            <w:vAlign w:val="bottom"/>
            <w:hideMark/>
          </w:tcPr>
          <w:p w:rsidR="00D56FC9" w:rsidRPr="00D56FC9" w:rsidRDefault="005A46D5" w:rsidP="00D56FC9">
            <w:pPr>
              <w:spacing w:after="0" w:line="240" w:lineRule="auto"/>
              <w:jc w:val="center"/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«</w:t>
            </w:r>
            <w:r w:rsidR="00D56FC9" w:rsidRPr="00D56FC9"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  <w:t>2</w:t>
            </w: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»</w:t>
            </w:r>
          </w:p>
        </w:tc>
        <w:tc>
          <w:tcPr>
            <w:tcW w:w="1706" w:type="dxa"/>
            <w:vAlign w:val="bottom"/>
            <w:hideMark/>
          </w:tcPr>
          <w:p w:rsidR="00D56FC9" w:rsidRPr="00D56FC9" w:rsidRDefault="005A46D5" w:rsidP="00D56FC9">
            <w:pPr>
              <w:spacing w:after="0" w:line="240" w:lineRule="auto"/>
              <w:jc w:val="center"/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«</w:t>
            </w:r>
            <w:r w:rsidR="00D56FC9" w:rsidRPr="00D56FC9"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  <w:t>3</w:t>
            </w: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»</w:t>
            </w:r>
          </w:p>
        </w:tc>
        <w:tc>
          <w:tcPr>
            <w:tcW w:w="2547" w:type="dxa"/>
            <w:vAlign w:val="bottom"/>
            <w:hideMark/>
          </w:tcPr>
          <w:p w:rsidR="00D56FC9" w:rsidRPr="00D56FC9" w:rsidRDefault="005A46D5" w:rsidP="00D56FC9">
            <w:pPr>
              <w:spacing w:after="0" w:line="240" w:lineRule="auto"/>
              <w:jc w:val="center"/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«</w:t>
            </w:r>
            <w:r w:rsidR="00D56FC9" w:rsidRPr="00D56FC9"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  <w:t>4</w:t>
            </w: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bottom"/>
            <w:hideMark/>
          </w:tcPr>
          <w:p w:rsidR="00D56FC9" w:rsidRPr="00D56FC9" w:rsidRDefault="005A46D5" w:rsidP="00D56FC9">
            <w:pPr>
              <w:spacing w:after="0" w:line="240" w:lineRule="auto"/>
              <w:jc w:val="center"/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«</w:t>
            </w:r>
            <w:r w:rsidR="00D56FC9" w:rsidRPr="00D56FC9"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  <w:t>5</w:t>
            </w: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»</w:t>
            </w:r>
          </w:p>
        </w:tc>
      </w:tr>
      <w:tr w:rsidR="00D56FC9" w:rsidRPr="00D56FC9" w:rsidTr="005A46D5">
        <w:tc>
          <w:tcPr>
            <w:tcW w:w="1843" w:type="dxa"/>
            <w:vAlign w:val="center"/>
            <w:hideMark/>
          </w:tcPr>
          <w:p w:rsidR="00D56FC9" w:rsidRPr="00D56FC9" w:rsidRDefault="00D56FC9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0–14 баллов</w:t>
            </w:r>
          </w:p>
        </w:tc>
        <w:tc>
          <w:tcPr>
            <w:tcW w:w="1706" w:type="dxa"/>
            <w:vAlign w:val="center"/>
            <w:hideMark/>
          </w:tcPr>
          <w:p w:rsidR="00D56FC9" w:rsidRPr="00D56FC9" w:rsidRDefault="00D56FC9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15–22</w:t>
            </w:r>
          </w:p>
        </w:tc>
        <w:tc>
          <w:tcPr>
            <w:tcW w:w="2547" w:type="dxa"/>
            <w:vAlign w:val="center"/>
            <w:hideMark/>
          </w:tcPr>
          <w:p w:rsidR="00D56FC9" w:rsidRPr="00D56FC9" w:rsidRDefault="00D56FC9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23–28 баллов, из них не менее 4 — по ГК1–ГК4</w:t>
            </w:r>
          </w:p>
        </w:tc>
        <w:tc>
          <w:tcPr>
            <w:tcW w:w="2835" w:type="dxa"/>
            <w:vAlign w:val="center"/>
            <w:hideMark/>
          </w:tcPr>
          <w:p w:rsidR="00F76500" w:rsidRDefault="00D56FC9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 xml:space="preserve">29–33 баллов, из них не менее 6 — </w:t>
            </w:r>
            <w:proofErr w:type="gramStart"/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по</w:t>
            </w:r>
            <w:proofErr w:type="gramEnd"/>
          </w:p>
          <w:p w:rsidR="00D56FC9" w:rsidRPr="00D56FC9" w:rsidRDefault="00D56FC9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ГК1–ГК4</w:t>
            </w:r>
          </w:p>
        </w:tc>
      </w:tr>
    </w:tbl>
    <w:p w:rsidR="00F76500" w:rsidRDefault="00F76500" w:rsidP="00F7650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tbl>
      <w:tblPr>
        <w:tblpPr w:leftFromText="180" w:rightFromText="180" w:vertAnchor="text" w:horzAnchor="margin" w:tblpY="2340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5"/>
        <w:gridCol w:w="2409"/>
        <w:gridCol w:w="2268"/>
        <w:gridCol w:w="2694"/>
      </w:tblGrid>
      <w:tr w:rsidR="005A46D5" w:rsidRPr="00D56FC9" w:rsidTr="005A46D5">
        <w:trPr>
          <w:tblHeader/>
        </w:trPr>
        <w:tc>
          <w:tcPr>
            <w:tcW w:w="1565" w:type="dxa"/>
            <w:vAlign w:val="bottom"/>
            <w:hideMark/>
          </w:tcPr>
          <w:p w:rsidR="005A46D5" w:rsidRPr="00D56FC9" w:rsidRDefault="005A46D5" w:rsidP="004537B8">
            <w:pPr>
              <w:spacing w:after="0" w:line="240" w:lineRule="auto"/>
              <w:jc w:val="center"/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«</w:t>
            </w:r>
            <w:r w:rsidRPr="00D56FC9"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  <w:t>2</w:t>
            </w: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bottom"/>
            <w:hideMark/>
          </w:tcPr>
          <w:p w:rsidR="005A46D5" w:rsidRPr="00D56FC9" w:rsidRDefault="005A46D5" w:rsidP="004537B8">
            <w:pPr>
              <w:spacing w:after="0" w:line="240" w:lineRule="auto"/>
              <w:jc w:val="center"/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«</w:t>
            </w:r>
            <w:r w:rsidRPr="00D56FC9"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  <w:t>3</w:t>
            </w: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  <w:hideMark/>
          </w:tcPr>
          <w:p w:rsidR="005A46D5" w:rsidRPr="00D56FC9" w:rsidRDefault="005A46D5" w:rsidP="004537B8">
            <w:pPr>
              <w:spacing w:after="0" w:line="240" w:lineRule="auto"/>
              <w:jc w:val="center"/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«</w:t>
            </w:r>
            <w:r w:rsidRPr="00D56FC9"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  <w:t>4</w:t>
            </w: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bottom"/>
            <w:hideMark/>
          </w:tcPr>
          <w:p w:rsidR="005A46D5" w:rsidRPr="00D56FC9" w:rsidRDefault="005A46D5" w:rsidP="004537B8">
            <w:pPr>
              <w:spacing w:after="0" w:line="240" w:lineRule="auto"/>
              <w:jc w:val="center"/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«</w:t>
            </w:r>
            <w:r w:rsidRPr="00D56FC9">
              <w:rPr>
                <w:rFonts w:ascii="stk" w:eastAsia="Times New Roman" w:hAnsi="stk" w:cs="Arial"/>
                <w:b/>
                <w:bCs/>
                <w:color w:val="2F2F2F"/>
                <w:sz w:val="24"/>
                <w:szCs w:val="24"/>
              </w:rPr>
              <w:t>5</w:t>
            </w:r>
            <w:r>
              <w:rPr>
                <w:rFonts w:ascii="stk" w:eastAsia="Times New Roman" w:hAnsi="stk" w:cs="Arial" w:hint="eastAsia"/>
                <w:b/>
                <w:bCs/>
                <w:color w:val="2F2F2F"/>
                <w:sz w:val="24"/>
                <w:szCs w:val="24"/>
              </w:rPr>
              <w:t>»</w:t>
            </w:r>
          </w:p>
        </w:tc>
      </w:tr>
      <w:tr w:rsidR="005A46D5" w:rsidRPr="00D56FC9" w:rsidTr="005A46D5">
        <w:tc>
          <w:tcPr>
            <w:tcW w:w="1565" w:type="dxa"/>
            <w:vAlign w:val="center"/>
            <w:hideMark/>
          </w:tcPr>
          <w:p w:rsidR="005A46D5" w:rsidRPr="00D56FC9" w:rsidRDefault="005A46D5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0–7 баллов</w:t>
            </w:r>
          </w:p>
        </w:tc>
        <w:tc>
          <w:tcPr>
            <w:tcW w:w="2409" w:type="dxa"/>
            <w:vAlign w:val="center"/>
            <w:hideMark/>
          </w:tcPr>
          <w:p w:rsidR="005A46D5" w:rsidRPr="00D56FC9" w:rsidRDefault="005A46D5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8–14 баллов, из них не менее 2 — по геометрии</w:t>
            </w:r>
          </w:p>
        </w:tc>
        <w:tc>
          <w:tcPr>
            <w:tcW w:w="2268" w:type="dxa"/>
            <w:vAlign w:val="center"/>
            <w:hideMark/>
          </w:tcPr>
          <w:p w:rsidR="005A46D5" w:rsidRPr="00D56FC9" w:rsidRDefault="005A46D5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15–21 баллов, из них не менее 2 — по геометрии</w:t>
            </w:r>
          </w:p>
        </w:tc>
        <w:tc>
          <w:tcPr>
            <w:tcW w:w="2694" w:type="dxa"/>
            <w:vAlign w:val="center"/>
            <w:hideMark/>
          </w:tcPr>
          <w:p w:rsidR="005A46D5" w:rsidRPr="00D56FC9" w:rsidRDefault="005A46D5" w:rsidP="005A46D5">
            <w:pPr>
              <w:spacing w:after="0" w:line="240" w:lineRule="auto"/>
              <w:jc w:val="center"/>
              <w:rPr>
                <w:rFonts w:ascii="stk" w:eastAsia="Times New Roman" w:hAnsi="stk" w:cs="Arial"/>
                <w:color w:val="2F2F2F"/>
                <w:sz w:val="24"/>
                <w:szCs w:val="24"/>
              </w:rPr>
            </w:pPr>
            <w:r w:rsidRPr="00D56FC9">
              <w:rPr>
                <w:rFonts w:ascii="stk" w:eastAsia="Times New Roman" w:hAnsi="stk" w:cs="Arial"/>
                <w:color w:val="2F2F2F"/>
                <w:sz w:val="24"/>
                <w:szCs w:val="24"/>
              </w:rPr>
              <w:t>22–31 баллов, из них не менее 2 — по геометрии</w:t>
            </w:r>
          </w:p>
        </w:tc>
      </w:tr>
    </w:tbl>
    <w:p w:rsidR="00D56FC9" w:rsidRPr="005A46D5" w:rsidRDefault="00D56FC9" w:rsidP="005A46D5">
      <w:pPr>
        <w:pStyle w:val="a7"/>
        <w:numPr>
          <w:ilvl w:val="0"/>
          <w:numId w:val="16"/>
        </w:numPr>
        <w:spacing w:after="100" w:afterAutospacing="1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5A46D5">
        <w:rPr>
          <w:rFonts w:ascii="Times New Roman" w:eastAsia="Times New Roman" w:hAnsi="Times New Roman" w:cs="Times New Roman"/>
          <w:color w:val="2F2F2F"/>
          <w:sz w:val="28"/>
          <w:szCs w:val="28"/>
        </w:rPr>
        <w:t>Математика — 8 первичных баллов, из них 2 балла — за задания по геометрии.</w:t>
      </w:r>
      <w:r w:rsidRPr="005A46D5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  <w:t xml:space="preserve">Для отбора в профильные классы: для </w:t>
      </w:r>
      <w:proofErr w:type="spellStart"/>
      <w:proofErr w:type="gramStart"/>
      <w:r w:rsidRPr="005A46D5">
        <w:rPr>
          <w:rFonts w:ascii="Times New Roman" w:eastAsia="Times New Roman" w:hAnsi="Times New Roman" w:cs="Times New Roman"/>
          <w:color w:val="2F2F2F"/>
          <w:sz w:val="28"/>
          <w:szCs w:val="28"/>
        </w:rPr>
        <w:t>естественно-научного</w:t>
      </w:r>
      <w:proofErr w:type="spellEnd"/>
      <w:proofErr w:type="gramEnd"/>
      <w:r w:rsidRPr="005A46D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профиля — 18 баллов, из них не менее 6 — по геометрии; для экономического профиля — 18 баллов, из них не менее 5 — по геометрии; для физико-математического профиля — 19 баллов, из них не менее 7 — по геометрии.</w:t>
      </w:r>
    </w:p>
    <w:p w:rsidR="005A46D5" w:rsidRDefault="005A46D5" w:rsidP="00D56FC9">
      <w:pPr>
        <w:spacing w:after="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</w:p>
    <w:p w:rsidR="00D56FC9" w:rsidRPr="00D56FC9" w:rsidRDefault="00D56FC9" w:rsidP="005A46D5">
      <w:pPr>
        <w:spacing w:after="0" w:afterAutospacing="1" w:line="240" w:lineRule="auto"/>
        <w:jc w:val="center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  <w:r w:rsidRPr="00D56FC9">
        <w:rPr>
          <w:rFonts w:ascii="stk" w:eastAsia="Times New Roman" w:hAnsi="stk" w:cs="Times New Roman"/>
          <w:b/>
          <w:bCs/>
          <w:color w:val="2F2F2F"/>
          <w:sz w:val="36"/>
          <w:szCs w:val="36"/>
        </w:rPr>
        <w:t>Пять причин хорошо подготовиться и успешно сдать ОГЭ</w:t>
      </w:r>
    </w:p>
    <w:p w:rsidR="00D56FC9" w:rsidRPr="00D56FC9" w:rsidRDefault="00D56FC9" w:rsidP="00D56FC9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5A46D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Проверка сил и знаний перед ЕГЭ</w:t>
      </w:r>
    </w:p>
    <w:p w:rsidR="00D56FC9" w:rsidRPr="00D56FC9" w:rsidRDefault="00D56FC9" w:rsidP="005A46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ОГЭ — это своего рода репетиция ЕГЭ. Благодаря </w:t>
      </w:r>
      <w:proofErr w:type="gramStart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ему</w:t>
      </w:r>
      <w:proofErr w:type="gramEnd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вы поймёте, насколько хорошо знаете предмет, получите объективную обратную связь. А ещё за оставшееся до ЕГЭ время исправите все ошибки и заполните пробелы в подготовке.</w:t>
      </w:r>
    </w:p>
    <w:p w:rsidR="00D56FC9" w:rsidRPr="00D56FC9" w:rsidRDefault="00D56FC9" w:rsidP="005A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D56FC9" w:rsidRPr="00D56FC9" w:rsidRDefault="00D56FC9" w:rsidP="005A46D5">
      <w:pPr>
        <w:spacing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5A46D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База по подготовке к ЕГЭ</w:t>
      </w:r>
    </w:p>
    <w:p w:rsidR="00D56FC9" w:rsidRPr="00D56FC9" w:rsidRDefault="00D56FC9" w:rsidP="005A46D5">
      <w:pPr>
        <w:spacing w:after="26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Если вы хорошо подготовитесь и успешно сдадите ОГЭ, считайте, что уже проделали значительную часть работы по подготовке к ЕГЭ. Задания на </w: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>экзаменах, конечно, отличаются, но база знаний, которую вы получите при подготовке, очень поможет.</w:t>
      </w:r>
    </w:p>
    <w:p w:rsidR="00D56FC9" w:rsidRPr="00D56FC9" w:rsidRDefault="00D56FC9" w:rsidP="005A46D5">
      <w:pPr>
        <w:spacing w:after="26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Например, если вы хорошо сдали ОГЭ по математике, можете </w:t>
      </w:r>
      <w:proofErr w:type="gramStart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смело</w:t>
      </w:r>
      <w:proofErr w:type="gramEnd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хоть на следующий день выполнять задания 1 части профильного ЕГЭ. Там проверяются те же самые знания и навыки, лишь небольшая часть заданий относится к темам 10-го класса.</w:t>
      </w:r>
    </w:p>
    <w:p w:rsidR="00D56FC9" w:rsidRPr="00D56FC9" w:rsidRDefault="00D56FC9" w:rsidP="005A46D5">
      <w:pPr>
        <w:spacing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5A46D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Итоговая оценка</w:t>
      </w:r>
    </w:p>
    <w:p w:rsidR="00D56FC9" w:rsidRPr="00D56FC9" w:rsidRDefault="00D56FC9" w:rsidP="005A46D5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Результат ОГЭ по обязательным предметам влияет на выставление итоговой оценки по предмету в аттестат об основном общем образовании. Например, если в году у вас вышла пятёрка, а на ОГЭ вы получили тройку, в аттестат вам поставят четвёрку. Если ОГЭ будет сдан на четвёрку, пятёрка в аттестате также окажется под вопросом.</w:t>
      </w:r>
    </w:p>
    <w:p w:rsidR="00D56FC9" w:rsidRPr="00D56FC9" w:rsidRDefault="00D56FC9" w:rsidP="005A46D5">
      <w:pPr>
        <w:spacing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5A46D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Поступление в колледж или техникум</w:t>
      </w:r>
    </w:p>
    <w:p w:rsidR="00D56FC9" w:rsidRPr="00D56FC9" w:rsidRDefault="00D56FC9" w:rsidP="005A46D5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В большинстве колледжей и техникумов, куда принимают после 9-го класса, нет внутренних экзаменов. Принимая школьников, эти учреждения ориентируются в первую очередь на результаты ОГЭ и на балл аттестата.</w:t>
      </w:r>
    </w:p>
    <w:p w:rsidR="00D56FC9" w:rsidRPr="00D56FC9" w:rsidRDefault="00D56FC9" w:rsidP="005A46D5">
      <w:pPr>
        <w:spacing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5A46D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Поступление в профильный класс</w:t>
      </w:r>
    </w:p>
    <w:p w:rsidR="00D56FC9" w:rsidRPr="00D56FC9" w:rsidRDefault="00D56FC9" w:rsidP="005A46D5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В профильные классы идёт отбор по многим параметрам, но ОГЭ и контрольная работа — одни из </w:t>
      </w:r>
      <w:proofErr w:type="gramStart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самых</w:t>
      </w:r>
      <w:proofErr w:type="gramEnd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важных. Кроме них учитывается успеваемость в течение года, участие в олимпиадах, участие в школьной жизни. Если в вашей школе есть профильные классы, узнайте заранее о правилах поступления и критериях отбора, ведь в разных школах они могут отличаться.</w:t>
      </w:r>
    </w:p>
    <w:p w:rsidR="00D56FC9" w:rsidRPr="00D56FC9" w:rsidRDefault="00D56FC9" w:rsidP="00D56FC9">
      <w:pPr>
        <w:spacing w:after="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  <w:r w:rsidRPr="00D56FC9">
        <w:rPr>
          <w:rFonts w:ascii="stk" w:eastAsia="Times New Roman" w:hAnsi="stk" w:cs="Times New Roman"/>
          <w:b/>
          <w:bCs/>
          <w:color w:val="2F2F2F"/>
          <w:sz w:val="36"/>
          <w:szCs w:val="36"/>
        </w:rPr>
        <w:t>Выбор направления или вуза</w:t>
      </w:r>
    </w:p>
    <w:p w:rsidR="00D56FC9" w:rsidRPr="00D56FC9" w:rsidRDefault="00D56FC9" w:rsidP="004A5F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Если вы ещё </w:t>
      </w:r>
      <w:hyperlink r:id="rId7" w:tgtFrame="_blank" w:history="1">
        <w:r w:rsidRPr="004A5F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не определились</w:t>
        </w:r>
      </w:hyperlink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, куда хотите поступать и кем быть, ОГЭ и контрольная работа помогут принять такое решение.</w:t>
      </w:r>
    </w:p>
    <w:p w:rsidR="004A5FDC" w:rsidRDefault="004A5FDC" w:rsidP="00D56FC9">
      <w:pPr>
        <w:spacing w:after="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</w:p>
    <w:p w:rsidR="00D56FC9" w:rsidRPr="00D56FC9" w:rsidRDefault="00D56FC9" w:rsidP="00D56FC9">
      <w:pPr>
        <w:spacing w:after="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</w:rPr>
      </w:pPr>
      <w:r w:rsidRPr="00D56FC9">
        <w:rPr>
          <w:rFonts w:ascii="stk" w:eastAsia="Times New Roman" w:hAnsi="stk" w:cs="Times New Roman"/>
          <w:b/>
          <w:bCs/>
          <w:color w:val="2F2F2F"/>
          <w:sz w:val="36"/>
          <w:szCs w:val="36"/>
        </w:rPr>
        <w:t>Три самых важных шага при подготовке к ОГЭ</w:t>
      </w:r>
    </w:p>
    <w:p w:rsidR="00D56FC9" w:rsidRPr="00D56FC9" w:rsidRDefault="00D56FC9" w:rsidP="004A5FDC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Шаг 1</w:t>
      </w:r>
      <w:proofErr w:type="gramStart"/>
      <w:r w:rsidRPr="00D56FC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br/>
      </w:r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С</w:t>
      </w:r>
      <w:proofErr w:type="gramEnd"/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формулируйте цель</w:t>
      </w:r>
    </w:p>
    <w:p w:rsidR="00D56FC9" w:rsidRPr="00D56FC9" w:rsidRDefault="00D56FC9" w:rsidP="004A5FDC">
      <w:pPr>
        <w:spacing w:after="26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Если вы сейчас в 9-м классе, самое время сформулировать цель — чего вы хотите дальше, после ОГЭ, зачем вам его сдавать. От этого и будет зависеть план подготовки.</w:t>
      </w:r>
    </w:p>
    <w:p w:rsidR="00D56FC9" w:rsidRPr="00D56FC9" w:rsidRDefault="00D56FC9" w:rsidP="004A5FDC">
      <w:pPr>
        <w:spacing w:after="26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>Возможные варианты:</w:t>
      </w:r>
    </w:p>
    <w:p w:rsidR="00D56FC9" w:rsidRPr="00D56FC9" w:rsidRDefault="00D56FC9" w:rsidP="004A5FDC">
      <w:pPr>
        <w:numPr>
          <w:ilvl w:val="0"/>
          <w:numId w:val="12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поступление в колледж;</w:t>
      </w:r>
    </w:p>
    <w:p w:rsidR="00D56FC9" w:rsidRPr="00D56FC9" w:rsidRDefault="00D56FC9" w:rsidP="004A5FDC">
      <w:pPr>
        <w:numPr>
          <w:ilvl w:val="0"/>
          <w:numId w:val="13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поступление в профильный класс;</w:t>
      </w:r>
    </w:p>
    <w:p w:rsidR="00D56FC9" w:rsidRPr="00D56FC9" w:rsidRDefault="00D56FC9" w:rsidP="004A5FDC">
      <w:pPr>
        <w:numPr>
          <w:ilvl w:val="0"/>
          <w:numId w:val="14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обучение в обычном классе и самостоятельная подготовка к ЕГЭ.</w:t>
      </w:r>
    </w:p>
    <w:p w:rsidR="00D56FC9" w:rsidRPr="00D56FC9" w:rsidRDefault="00D56FC9" w:rsidP="004A5FDC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Поставив цель, вы поймёте, какие результаты ОГЭ вам нужны. </w:t>
      </w:r>
    </w:p>
    <w:p w:rsidR="00D56FC9" w:rsidRPr="00D56FC9" w:rsidRDefault="00D56FC9" w:rsidP="004A5FDC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Шаг 2</w:t>
      </w:r>
      <w:proofErr w:type="gramStart"/>
      <w:r w:rsidRPr="00D56FC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br/>
      </w:r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В</w:t>
      </w:r>
      <w:proofErr w:type="gramEnd"/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ыберите предмет для написания контрольной работы</w:t>
      </w:r>
    </w:p>
    <w:p w:rsidR="00D56FC9" w:rsidRPr="00D56FC9" w:rsidRDefault="00D56FC9" w:rsidP="004A5FDC">
      <w:pPr>
        <w:spacing w:after="26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Выбор предмета будет зависеть от вашей цели и планов по её достижению. Например, вы решили направить свои силы на олимпиады, чтобы поступить без экзаменов. Тогда для </w:t>
      </w:r>
      <w:proofErr w:type="gramStart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контрольной</w:t>
      </w:r>
      <w:proofErr w:type="gramEnd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по предмету по выбору выбирайте самый простой предмет. Таким образом</w:t>
      </w:r>
      <w:r w:rsidR="004A5FD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, </w: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вы сэкономите время на подготовку.</w:t>
      </w:r>
    </w:p>
    <w:p w:rsidR="00D56FC9" w:rsidRPr="00D56FC9" w:rsidRDefault="00D56FC9" w:rsidP="004A5FDC">
      <w:pPr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Шаг 3</w:t>
      </w:r>
      <w:proofErr w:type="gramStart"/>
      <w:r w:rsidRPr="00D56FC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br/>
      </w:r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С</w:t>
      </w:r>
      <w:proofErr w:type="gramEnd"/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оставьте план подготовки</w:t>
      </w:r>
    </w:p>
    <w:p w:rsidR="00D56FC9" w:rsidRPr="00D56FC9" w:rsidRDefault="00D56FC9" w:rsidP="004A5FDC">
      <w:pPr>
        <w:spacing w:after="26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Подготовка должна состоять из двух частей: изучение теоретического материала и отработка тестов. Здесь важен баланс — перекос только в теорию или только в решение задач скажется на качестве подготовки.</w:t>
      </w:r>
    </w:p>
    <w:p w:rsidR="00D56FC9" w:rsidRPr="00D56FC9" w:rsidRDefault="00D56FC9" w:rsidP="004A5FDC">
      <w:pPr>
        <w:spacing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4A5FD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Важно запомнить</w:t>
      </w:r>
    </w:p>
    <w:p w:rsidR="00D56FC9" w:rsidRPr="00D56FC9" w:rsidRDefault="00D56FC9" w:rsidP="004A5FDC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Готовясь к математике, обязательно уделяйте внимание геометрии.</w:t>
      </w:r>
      <w:r w:rsidRPr="004A5FD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Е</w:t>
      </w:r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сли школьник не набрал 2 минимальных балла по заданиям из курса геометрии, ОГЭ он не сдаст, даже если все задания по алгебре будут </w:t>
      </w:r>
      <w:proofErr w:type="gramStart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>выполнены</w:t>
      </w:r>
      <w:proofErr w:type="gramEnd"/>
      <w:r w:rsidRPr="00D56F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верно.</w:t>
      </w:r>
    </w:p>
    <w:p w:rsidR="00425993" w:rsidRDefault="00425993"/>
    <w:sectPr w:rsidR="0042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F16"/>
    <w:multiLevelType w:val="multilevel"/>
    <w:tmpl w:val="6C8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30A46"/>
    <w:multiLevelType w:val="multilevel"/>
    <w:tmpl w:val="AFA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B3B7B"/>
    <w:multiLevelType w:val="multilevel"/>
    <w:tmpl w:val="1E5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A6090"/>
    <w:multiLevelType w:val="multilevel"/>
    <w:tmpl w:val="8D10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670B8"/>
    <w:multiLevelType w:val="multilevel"/>
    <w:tmpl w:val="14C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402A6"/>
    <w:multiLevelType w:val="multilevel"/>
    <w:tmpl w:val="8944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C6F9C"/>
    <w:multiLevelType w:val="multilevel"/>
    <w:tmpl w:val="019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31453"/>
    <w:multiLevelType w:val="multilevel"/>
    <w:tmpl w:val="B538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27621"/>
    <w:multiLevelType w:val="multilevel"/>
    <w:tmpl w:val="329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92E75"/>
    <w:multiLevelType w:val="multilevel"/>
    <w:tmpl w:val="D3B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32BB0"/>
    <w:multiLevelType w:val="multilevel"/>
    <w:tmpl w:val="81EC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D5754"/>
    <w:multiLevelType w:val="hybridMultilevel"/>
    <w:tmpl w:val="C1B48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0392D"/>
    <w:multiLevelType w:val="multilevel"/>
    <w:tmpl w:val="461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13600"/>
    <w:multiLevelType w:val="multilevel"/>
    <w:tmpl w:val="B7E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DB7D73"/>
    <w:multiLevelType w:val="multilevel"/>
    <w:tmpl w:val="ED4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93172"/>
    <w:multiLevelType w:val="multilevel"/>
    <w:tmpl w:val="59E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56FC9"/>
    <w:rsid w:val="00425993"/>
    <w:rsid w:val="004A5FDC"/>
    <w:rsid w:val="005A46D5"/>
    <w:rsid w:val="00D56FC9"/>
    <w:rsid w:val="00F7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6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6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F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6F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56FC9"/>
    <w:rPr>
      <w:b/>
      <w:bCs/>
    </w:rPr>
  </w:style>
  <w:style w:type="paragraph" w:customStyle="1" w:styleId="stk-reset">
    <w:name w:val="stk-reset"/>
    <w:basedOn w:val="a"/>
    <w:rsid w:val="00D5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6FC9"/>
    <w:rPr>
      <w:color w:val="0000FF"/>
      <w:u w:val="single"/>
    </w:rPr>
  </w:style>
  <w:style w:type="paragraph" w:customStyle="1" w:styleId="stk-theme19819stylesmalltext">
    <w:name w:val="stk-theme_19819__style_small_text"/>
    <w:basedOn w:val="a"/>
    <w:rsid w:val="00D5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D5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F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4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ia.foxford.ru/how-to-choose-jo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.fipi.ru/oge/demoversii-specifikacii-kodifikatory/2021/05-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D2C1-C278-4EDE-B85A-55383AAD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4</cp:revision>
  <dcterms:created xsi:type="dcterms:W3CDTF">2021-04-19T02:54:00Z</dcterms:created>
  <dcterms:modified xsi:type="dcterms:W3CDTF">2021-04-19T04:59:00Z</dcterms:modified>
</cp:coreProperties>
</file>